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A4" w:rsidRDefault="007061A4" w:rsidP="007061A4">
      <w:pPr>
        <w:pStyle w:val="Default"/>
      </w:pPr>
    </w:p>
    <w:p w:rsidR="007061A4" w:rsidRDefault="007061A4" w:rsidP="007061A4">
      <w:pPr>
        <w:pStyle w:val="Default"/>
        <w:rPr>
          <w:rFonts w:cstheme="minorBidi"/>
          <w:color w:val="auto"/>
        </w:rPr>
      </w:pPr>
    </w:p>
    <w:p w:rsidR="007061A4" w:rsidRDefault="007061A4" w:rsidP="007061A4">
      <w:pPr>
        <w:pStyle w:val="Default"/>
        <w:rPr>
          <w:rFonts w:cstheme="minorBidi"/>
          <w:color w:val="auto"/>
        </w:rPr>
      </w:pPr>
    </w:p>
    <w:p w:rsidR="007061A4" w:rsidRPr="007061A4" w:rsidRDefault="007061A4" w:rsidP="007061A4">
      <w:pPr>
        <w:pStyle w:val="Default"/>
        <w:rPr>
          <w:rFonts w:cstheme="minorBidi"/>
          <w:b/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   </w:t>
      </w:r>
      <w:r w:rsidRPr="007061A4">
        <w:rPr>
          <w:rFonts w:cstheme="minorBidi"/>
          <w:b/>
          <w:color w:val="auto"/>
          <w:sz w:val="40"/>
          <w:szCs w:val="40"/>
        </w:rPr>
        <w:t xml:space="preserve">Wykaz   Alergenów </w:t>
      </w:r>
    </w:p>
    <w:p w:rsidR="007061A4" w:rsidRPr="007061A4" w:rsidRDefault="007061A4" w:rsidP="007061A4">
      <w:pPr>
        <w:pStyle w:val="Default"/>
        <w:rPr>
          <w:rFonts w:cstheme="minorBidi"/>
          <w:b/>
          <w:color w:val="auto"/>
        </w:rPr>
      </w:pP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1. zboża zawierające gluten, tj. pszenica (w tym orkisz i pszenica </w:t>
      </w:r>
      <w:proofErr w:type="spellStart"/>
      <w:r>
        <w:rPr>
          <w:rFonts w:cstheme="minorBidi"/>
          <w:color w:val="auto"/>
          <w:sz w:val="26"/>
          <w:szCs w:val="26"/>
        </w:rPr>
        <w:t>khorasan</w:t>
      </w:r>
      <w:proofErr w:type="spellEnd"/>
      <w:r>
        <w:rPr>
          <w:rFonts w:cstheme="minorBidi"/>
          <w:color w:val="auto"/>
          <w:sz w:val="26"/>
          <w:szCs w:val="26"/>
        </w:rPr>
        <w:t xml:space="preserve">), żyto, jęczmień, owies lub ich odmiany hybrydowe, a także produkty pochodne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2. skorupiaki i produkty pochodne;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3. jaja i produkty pochodne;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4. ryby i produkty pochodne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5. orzeszki ziemne (arachidowe) i produkty pochodne;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6. soję i produkty pochodne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7. mleko i produkty pochodne (łącznie z laktozą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8. orzechy, tj. migdały, orzechy laskowe, orzechy włoskie, orzechy nerkowca, orzeszki </w:t>
      </w:r>
      <w:proofErr w:type="spellStart"/>
      <w:r>
        <w:rPr>
          <w:rFonts w:cstheme="minorBidi"/>
          <w:color w:val="auto"/>
          <w:sz w:val="26"/>
          <w:szCs w:val="26"/>
        </w:rPr>
        <w:t>pekan</w:t>
      </w:r>
      <w:proofErr w:type="spellEnd"/>
      <w:r>
        <w:rPr>
          <w:rFonts w:cstheme="minorBidi"/>
          <w:color w:val="auto"/>
          <w:sz w:val="26"/>
          <w:szCs w:val="26"/>
        </w:rPr>
        <w:t xml:space="preserve">, orzechy brazylijskie, pistacje/orzechy pistacjowe, orzechy makadamia lub orzechy </w:t>
      </w:r>
      <w:proofErr w:type="spellStart"/>
      <w:r>
        <w:rPr>
          <w:rFonts w:cstheme="minorBidi"/>
          <w:color w:val="auto"/>
          <w:sz w:val="26"/>
          <w:szCs w:val="26"/>
        </w:rPr>
        <w:t>queensland</w:t>
      </w:r>
      <w:proofErr w:type="spellEnd"/>
      <w:r>
        <w:rPr>
          <w:rFonts w:cstheme="minorBidi"/>
          <w:color w:val="auto"/>
          <w:sz w:val="26"/>
          <w:szCs w:val="26"/>
        </w:rPr>
        <w:t xml:space="preserve">, a także produkty pochodne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9. seler i produkty pochodne;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10. gorczycę i produkty pochodne;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11. nasiona sezamu i produkty pochodne;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>12. dwutlenek siarki i siarczyny w stężeniach powyżej 10 mg/kg lub 10 mg/litr w przeliczeniu na całkowitą zawartość so</w:t>
      </w:r>
      <w:r>
        <w:rPr>
          <w:rFonts w:cstheme="minorBidi"/>
          <w:color w:val="auto"/>
          <w:sz w:val="17"/>
          <w:szCs w:val="17"/>
        </w:rPr>
        <w:t xml:space="preserve">2 </w:t>
      </w:r>
      <w:r>
        <w:rPr>
          <w:rFonts w:cstheme="minorBidi"/>
          <w:color w:val="auto"/>
          <w:sz w:val="26"/>
          <w:szCs w:val="26"/>
        </w:rPr>
        <w:t xml:space="preserve">dla produktów w postaci gotowej bezpośrednio do spożycia lub w postaci przygotowanej do spożycia zgodnie z instrukcjami wytwórców; </w:t>
      </w:r>
    </w:p>
    <w:p w:rsidR="007061A4" w:rsidRDefault="007061A4" w:rsidP="007061A4">
      <w:pPr>
        <w:pStyle w:val="Default"/>
        <w:spacing w:after="115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13. łubin i produkty pochodne; </w:t>
      </w:r>
    </w:p>
    <w:p w:rsidR="007061A4" w:rsidRDefault="007061A4" w:rsidP="007061A4">
      <w:pPr>
        <w:pStyle w:val="Default"/>
        <w:rPr>
          <w:rFonts w:cstheme="minorBidi"/>
          <w:color w:val="auto"/>
          <w:sz w:val="26"/>
          <w:szCs w:val="26"/>
        </w:rPr>
      </w:pPr>
      <w:r>
        <w:rPr>
          <w:rFonts w:cstheme="minorBidi"/>
          <w:color w:val="auto"/>
          <w:sz w:val="26"/>
          <w:szCs w:val="26"/>
        </w:rPr>
        <w:t xml:space="preserve">14. mięczaki i produkty pochodne. </w:t>
      </w:r>
    </w:p>
    <w:p w:rsidR="00904610" w:rsidRDefault="00904610"/>
    <w:p w:rsidR="00717CE5" w:rsidRDefault="00717CE5"/>
    <w:p w:rsidR="00717CE5" w:rsidRPr="00717CE5" w:rsidRDefault="00717CE5">
      <w:pPr>
        <w:rPr>
          <w:b/>
          <w:sz w:val="28"/>
          <w:szCs w:val="28"/>
        </w:rPr>
      </w:pPr>
      <w:r w:rsidRPr="00717CE5">
        <w:rPr>
          <w:b/>
          <w:sz w:val="28"/>
          <w:szCs w:val="28"/>
        </w:rPr>
        <w:t>Na jadłospisie wypisane są alergeny występujące w produktach.</w:t>
      </w:r>
    </w:p>
    <w:sectPr w:rsidR="00717CE5" w:rsidRPr="00717CE5" w:rsidSect="00B910B9">
      <w:pgSz w:w="11906" w:h="168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1A4"/>
    <w:rsid w:val="007061A4"/>
    <w:rsid w:val="00717CE5"/>
    <w:rsid w:val="008669B2"/>
    <w:rsid w:val="0090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61A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3</cp:revision>
  <cp:lastPrinted>2021-09-06T07:35:00Z</cp:lastPrinted>
  <dcterms:created xsi:type="dcterms:W3CDTF">2021-09-06T06:43:00Z</dcterms:created>
  <dcterms:modified xsi:type="dcterms:W3CDTF">2021-09-06T07:37:00Z</dcterms:modified>
</cp:coreProperties>
</file>